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bookmarkStart w:id="7" w:name="_GoBack"/>
      <w:bookmarkEnd w:id="7"/>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项目名称：红宇院区教室电子黑板（第二次）</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项目编号：BSRMYY-YNCG-2026-07006</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686"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80"/>
        <w:gridCol w:w="1200"/>
        <w:gridCol w:w="1616"/>
        <w:gridCol w:w="2014"/>
        <w:gridCol w:w="1826"/>
      </w:tblGrid>
      <w:tr w14:paraId="68F1D2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trPr>
        <w:tc>
          <w:tcPr>
            <w:tcW w:w="1396"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649"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874"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90"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限价（元）</w:t>
            </w:r>
          </w:p>
        </w:tc>
        <w:tc>
          <w:tcPr>
            <w:tcW w:w="988" w:type="pct"/>
            <w:vAlign w:val="center"/>
          </w:tcPr>
          <w:p w14:paraId="10C3B3B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273E9D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266F8A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会议平板（含OPS）含配套智慧笔</w:t>
            </w:r>
          </w:p>
        </w:tc>
        <w:tc>
          <w:tcPr>
            <w:tcW w:w="649" w:type="pct"/>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20000</w:t>
            </w:r>
          </w:p>
        </w:tc>
        <w:tc>
          <w:tcPr>
            <w:tcW w:w="988" w:type="pct"/>
            <w:vMerge w:val="restart"/>
            <w:vAlign w:val="center"/>
          </w:tcPr>
          <w:p w14:paraId="394CA51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33390</w:t>
            </w:r>
          </w:p>
        </w:tc>
      </w:tr>
      <w:tr w14:paraId="0A8321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545E86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讲桌</w:t>
            </w:r>
          </w:p>
        </w:tc>
        <w:tc>
          <w:tcPr>
            <w:tcW w:w="649" w:type="pct"/>
            <w:vAlign w:val="center"/>
          </w:tcPr>
          <w:p w14:paraId="41C37D9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4505A3C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3303A9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1900</w:t>
            </w:r>
          </w:p>
        </w:tc>
        <w:tc>
          <w:tcPr>
            <w:tcW w:w="988" w:type="pct"/>
            <w:vMerge w:val="continue"/>
            <w:vAlign w:val="center"/>
          </w:tcPr>
          <w:p w14:paraId="383B4F8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94B4F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0A24483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商业显示器</w:t>
            </w:r>
          </w:p>
        </w:tc>
        <w:tc>
          <w:tcPr>
            <w:tcW w:w="649" w:type="pct"/>
            <w:vAlign w:val="center"/>
          </w:tcPr>
          <w:p w14:paraId="656B286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874" w:type="pct"/>
            <w:vAlign w:val="center"/>
          </w:tcPr>
          <w:p w14:paraId="2CBE952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64434B11">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2850</w:t>
            </w:r>
          </w:p>
        </w:tc>
        <w:tc>
          <w:tcPr>
            <w:tcW w:w="988" w:type="pct"/>
            <w:vMerge w:val="continue"/>
            <w:vAlign w:val="center"/>
          </w:tcPr>
          <w:p w14:paraId="0F841B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164462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5D210BF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显示器</w:t>
            </w:r>
          </w:p>
        </w:tc>
        <w:tc>
          <w:tcPr>
            <w:tcW w:w="649" w:type="pct"/>
            <w:vAlign w:val="center"/>
          </w:tcPr>
          <w:p w14:paraId="011D1B6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678D623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0FFFA0E0">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1350</w:t>
            </w:r>
          </w:p>
        </w:tc>
        <w:tc>
          <w:tcPr>
            <w:tcW w:w="988" w:type="pct"/>
            <w:vMerge w:val="continue"/>
            <w:vAlign w:val="center"/>
          </w:tcPr>
          <w:p w14:paraId="0C9B0E7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398884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69DBD141">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支架</w:t>
            </w:r>
          </w:p>
        </w:tc>
        <w:tc>
          <w:tcPr>
            <w:tcW w:w="649" w:type="pct"/>
            <w:vAlign w:val="center"/>
          </w:tcPr>
          <w:p w14:paraId="1AC74B3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874" w:type="pct"/>
            <w:vAlign w:val="center"/>
          </w:tcPr>
          <w:p w14:paraId="2CBC113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90" w:type="pct"/>
            <w:vAlign w:val="center"/>
          </w:tcPr>
          <w:p w14:paraId="0A4A3CA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320</w:t>
            </w:r>
          </w:p>
        </w:tc>
        <w:tc>
          <w:tcPr>
            <w:tcW w:w="988" w:type="pct"/>
            <w:vMerge w:val="continue"/>
            <w:vAlign w:val="center"/>
          </w:tcPr>
          <w:p w14:paraId="7CF58D8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25795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45527D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分屏器及辅材</w:t>
            </w:r>
          </w:p>
        </w:tc>
        <w:tc>
          <w:tcPr>
            <w:tcW w:w="649" w:type="pct"/>
            <w:vAlign w:val="center"/>
          </w:tcPr>
          <w:p w14:paraId="336BC15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2CEE1D4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90" w:type="pct"/>
            <w:vAlign w:val="center"/>
          </w:tcPr>
          <w:p w14:paraId="460904A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1800</w:t>
            </w:r>
          </w:p>
        </w:tc>
        <w:tc>
          <w:tcPr>
            <w:tcW w:w="988" w:type="pct"/>
            <w:vMerge w:val="continue"/>
            <w:vAlign w:val="center"/>
          </w:tcPr>
          <w:p w14:paraId="70902A44">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E997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tcBorders>
              <w:bottom w:val="single" w:color="auto" w:sz="4" w:space="0"/>
            </w:tcBorders>
            <w:vAlign w:val="center"/>
          </w:tcPr>
          <w:p w14:paraId="29B3894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绿板</w:t>
            </w:r>
          </w:p>
        </w:tc>
        <w:tc>
          <w:tcPr>
            <w:tcW w:w="649" w:type="pct"/>
            <w:tcBorders>
              <w:bottom w:val="single" w:color="auto" w:sz="4" w:space="0"/>
            </w:tcBorders>
            <w:vAlign w:val="center"/>
          </w:tcPr>
          <w:p w14:paraId="22D6B68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tcBorders>
              <w:bottom w:val="single" w:color="auto" w:sz="4" w:space="0"/>
            </w:tcBorders>
            <w:vAlign w:val="center"/>
          </w:tcPr>
          <w:p w14:paraId="3340C0D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90" w:type="pct"/>
            <w:tcBorders>
              <w:bottom w:val="single" w:color="auto" w:sz="4" w:space="0"/>
            </w:tcBorders>
            <w:vAlign w:val="center"/>
          </w:tcPr>
          <w:p w14:paraId="278EF018">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2000</w:t>
            </w:r>
          </w:p>
        </w:tc>
        <w:tc>
          <w:tcPr>
            <w:tcW w:w="988" w:type="pct"/>
            <w:vMerge w:val="continue"/>
            <w:tcBorders>
              <w:bottom w:val="single" w:color="auto" w:sz="4" w:space="0"/>
            </w:tcBorders>
            <w:vAlign w:val="center"/>
          </w:tcPr>
          <w:p w14:paraId="5EC61AE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5CC26C5D">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91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5"/>
        <w:gridCol w:w="7842"/>
      </w:tblGrid>
      <w:tr w14:paraId="1555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713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名称</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98EA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参数</w:t>
            </w:r>
          </w:p>
        </w:tc>
      </w:tr>
      <w:tr w14:paraId="237C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41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会议平板（含OPS）含配套智慧笔</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589745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1.屏幕尺寸≥86寸，物理分辨率≥3840*2160，屏幕刷新率≥60Hz，可视角度≥178°，色域（NTSC标准）≥72%，触控响应时间≤10ms，触控点数≥40；</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操作系统：Android14.0及以上，处理器采用ARM架构，大小核设计，大核核心频率≥2.0GHz，存储（RAM+ROM）不低于8G+64G，支持WIFI6，蓝牙版本不低于5.2，麦克风数量≥8阵列，具备智能降噪，回声消除功能，拾音距离≥12；支持传屏器/Airpaly/P2P 多种无线投屏方式；</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3.OPS电脑：采用X86架构，处理器主频≥2.4GHz，内存≥16GB，SSD≥256GB，核显支持AV1视频解码</w:t>
            </w:r>
          </w:p>
        </w:tc>
      </w:tr>
      <w:tr w14:paraId="29C8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4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商业显示器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14FF2C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纯显示器，无系统，无开机广告，HDMI接口，屏幕尺寸：55寸，物理分辨率≥3840*2160，屏幕刷新率≥60Hz，可视角度≥178°</w:t>
            </w:r>
          </w:p>
        </w:tc>
      </w:tr>
      <w:tr w14:paraId="3674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34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显示器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1105E0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27寸，4k分辨率，嵌入讲台安装</w:t>
            </w:r>
          </w:p>
        </w:tc>
      </w:tr>
      <w:tr w14:paraId="0A263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64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支架</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3D34CB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伸缩旋转支架（支持55寸屏幕）</w:t>
            </w:r>
          </w:p>
        </w:tc>
      </w:tr>
      <w:tr w14:paraId="6F430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3C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分屏器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59783F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HDMI分屏器（1进4出）</w:t>
            </w:r>
          </w:p>
        </w:tc>
      </w:tr>
      <w:tr w14:paraId="616B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CD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辅材</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0DB5C1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高清线*4，usb延长线，usb hub，无线键鼠，线材长度适配现场需求</w:t>
            </w:r>
          </w:p>
        </w:tc>
      </w:tr>
      <w:tr w14:paraId="2FFA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B8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讲桌</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39FA47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外形尺寸：1150*780*1000mm；上柜体:长度</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1150mm，宽度780，高度340mm；下柜体：长度</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850mm，宽度660mm，高度660mm； 2.采用0.8 </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mm-1.2mm优质精装冷轧钢板,经数控激光切设备</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加工而成,表面酸洗、磷化、防腐、防锈、钝化处</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理后静电喷塑，塑面经久耐用。</w:t>
            </w:r>
          </w:p>
        </w:tc>
      </w:tr>
      <w:tr w14:paraId="650B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01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绿板</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2298CB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推拉绿板（约 4600*1350 mm），会议平板需嵌入绿板安装</w:t>
            </w:r>
          </w:p>
        </w:tc>
      </w:tr>
    </w:tbl>
    <w:p w14:paraId="3996926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最高限价33390元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中选供应商在与采购人签订合同后，5个工作日送货至采购方指定地点，15个工作日内安装完毕。</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项目最终验收合格后支付合同金额的95%。付款前，供应商须提供合法等额税务发票、验收记录、等佐证资料，未提供相关资料采购方有权拒付。质保期满后且质保服务达标，支付剩余5%。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3F9E23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1.质量保证</w:t>
      </w:r>
    </w:p>
    <w:p w14:paraId="71816BD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成交供应商提供的货物必须是全新的且所有部件的生产日期为近一年内，完全符合国家相关技术标准，同时要求供应商提供的软件需支持国家信创工作需求。</w:t>
      </w:r>
    </w:p>
    <w:p w14:paraId="4B56B7A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质量保证期</w:t>
      </w:r>
    </w:p>
    <w:p w14:paraId="62332E8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自最终验收合格之日起，质量保证期不低于三年。质保期内维修，供应商需免费提供设备所有原厂配件。设备突发故障维修的时长不纳入正常质保期限，质保期限根据维修时长相应顺延。保证设备质保期内开机率达95%（按365日/年计算），且满足采购方招标以及供应商响应的设备使用功能，否则保修期双倍顺延。质保期内同一质量问题或故障经供应商两次维修后再次出现的，采购方有权要求供应商免费更换全新设备或退货处理。</w:t>
      </w:r>
    </w:p>
    <w:p w14:paraId="70C75E5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（2）软件要求：供应商设备所提供的软件需正版化或取得相应的授权资料，终身免费升级，升级前应通知并得到采购方明确同意。</w:t>
      </w:r>
    </w:p>
    <w:p w14:paraId="4F822A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系统对接：供应商需提供与采购方医院信息系统连接接口，在采购方现有相关信息系统及相关硬件接口开放的基础上，供应商提供的软、硬件须无条件实现与采购方现有相关信息系统和硬件对接，并承担第三方软件厂商开放接口所收取的费用。</w:t>
      </w:r>
    </w:p>
    <w:p w14:paraId="54277A6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2.供应商或制造商在质量保证期内应当为采购方提供以下技术支持和服务：</w:t>
      </w:r>
    </w:p>
    <w:p w14:paraId="2CD018A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（1）电话咨询：供应商或制造商应当为采购方提供技术援助电话，解答采购方在使用中遇到的问题，及时为采购方提出解决问题的建议。</w:t>
      </w:r>
    </w:p>
    <w:p w14:paraId="04301A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现场响应：采购方遇到使用及技术问题，电话咨询不能解决的，供应商或制造商应在12小时内到达现场进行处理，确保产品正常工作；无法在12小时内解决的，应在24小时内提供备用产品，使采购方能够正常使用。</w:t>
      </w:r>
    </w:p>
    <w:p w14:paraId="313E63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（3）技术升级：在质保期内，如果产品技术升级，供应商应及时通知采购方，如采购方有相应要求，供应商或制造商应对采购方购买的产品进行免费升级服务。</w:t>
      </w:r>
    </w:p>
    <w:p w14:paraId="6957F0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3.质保期外服务要求</w:t>
      </w:r>
    </w:p>
    <w:p w14:paraId="1DF4F89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（1）质量保证期过后，供应商或制造商应同样提供免费电话咨询及免费技术或软件升级服务，现场响应并应承诺提供优惠价格的产品上门维护服务。</w:t>
      </w:r>
    </w:p>
    <w:p w14:paraId="7C22425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（2）质量保证期过后，采购方需要继续由原供应商或制造商提供售后服务的，原厂维保价格不得高于合同金额的5%。</w:t>
      </w:r>
    </w:p>
    <w:p w14:paraId="1F3E9CB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4.备品备件及易损件</w:t>
      </w:r>
    </w:p>
    <w:p w14:paraId="28C67CA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或制造商售后服务中，维修使用的备品备件及易损件应为原厂全新配件，未经采购方同意不得使用非原厂配件，所有设备常用的、容易损坏的备品备件及易损件的价格清单须在投标文件中列出，供应商书面承诺备品备件及易损件保供至少10年，同时承诺备品备件及易损件采购时不得高于全市平均价，零配件价格下调时及时通知采购方。</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326ADDF">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left="0" w:leftChars="0"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其他要求</w:t>
      </w:r>
    </w:p>
    <w:p w14:paraId="651C256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安全责任</w:t>
      </w:r>
    </w:p>
    <w:p w14:paraId="63244CF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供应商负责供货服务过程中的所有安全，提供的商品所造成的所有人身伤害或财产损失等安全责任问题，全部由供应商负责并自行承担法律责任。</w:t>
      </w:r>
    </w:p>
    <w:p w14:paraId="3C4C016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信息安全责任条款</w:t>
      </w:r>
    </w:p>
    <w:p w14:paraId="2E2E50C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责任范围</w:t>
      </w:r>
    </w:p>
    <w:p w14:paraId="1C05E82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供应商保证其提供的产品（含软硬件、驱动程序）及服务不存在已知或应知的恶意代码、未授权后门、隐蔽通道等安全缺陷，且所有操作符合《网络安全法》《数据安全法》及国家强制性标准（如GB/T 22239-2019）。</w:t>
      </w:r>
    </w:p>
    <w:p w14:paraId="5F9EC2B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违约情形</w:t>
      </w:r>
    </w:p>
    <w:p w14:paraId="71C8CA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因供应商产品/服务存在以下情形导致采购方发生安全事件（系统中断、数据泄露、恶意攻击扩散等），视为根本违约：</w:t>
      </w:r>
    </w:p>
    <w:p w14:paraId="2247C79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1.故意植入恶意功能；</w:t>
      </w:r>
    </w:p>
    <w:p w14:paraId="63C196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2.隐瞒已知安全漏洞且未告知；</w:t>
      </w:r>
    </w:p>
    <w:p w14:paraId="2CB485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3.运维操作违反国家强制性安全规范。</w:t>
      </w:r>
    </w:p>
    <w:p w14:paraId="69EAB79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赔偿责任</w:t>
      </w:r>
    </w:p>
    <w:p w14:paraId="7BD8C3E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发生上述违约时，供应商须承担：</w:t>
      </w:r>
    </w:p>
    <w:p w14:paraId="246E52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1.基础违约金：合同总额的10%(用于覆盖应急响应、取证评估等基础费用)；</w:t>
      </w:r>
    </w:p>
    <w:p w14:paraId="6993C49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2.直接损失赔偿：采购方实际遭受的经济损失；</w:t>
      </w:r>
    </w:p>
    <w:p w14:paraId="444CDF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3.惩罚性赔偿：若存在主观恶意，追加合同总额20%的赔偿。</w:t>
      </w:r>
    </w:p>
    <w:p w14:paraId="5D60379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免责与减责</w:t>
      </w:r>
    </w:p>
    <w:p w14:paraId="7FA86BD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1.因采购方未按安全指南使用设备（如未安装补丁、禁用安全功能）导致损失，供应商责任相应减免；</w:t>
      </w:r>
    </w:p>
    <w:p w14:paraId="243BD8B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2.开源组件或供应链上游漏洞导致的客观风险，供应商及时通报并协助处置的，可免除惩罚性赔偿。</w:t>
      </w:r>
    </w:p>
    <w:p w14:paraId="3859924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证据规则</w:t>
      </w:r>
    </w:p>
    <w:p w14:paraId="2BA19E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事件归责需由重庆市网安部门（市公安局网安总队/市委网信办）通报或国家级网络安全机构（如CNVD、CNNVD）或双方认可的第三方实验室出具鉴定报告。供应商应在收到报告后5个工作日内书面回应，逾期视为认可结论。</w:t>
      </w:r>
    </w:p>
    <w:p w14:paraId="1EC8E44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知识产权</w:t>
      </w:r>
    </w:p>
    <w:p w14:paraId="6209B3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采购方在中华人民共和国境内使用成交供应商提供的货物及服务时免受第三方提出的侵犯其专利权或其它知识产权的起诉。如果第三方提出侵权指控，成交供应商应承担由此而引起的一切法律责任和费用。</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59EB9DC5">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在约定期限完成交付验收，延迟交付每日支付100元的违约金，超过15日未能交付，采购方有权解除合同，并要求供应商承担合同总额30%的违约金；验收不合格或使用中发现产品质量缺陷，采购方有权要求供应商整改，整改期限为10日，整改期限届满仍未完成的供应商每日支付千分之三的违约金，超过20日未能完成整改，采购方有权解除合同，并要求供应商承担合同总额30%的违约金；所投和交付产品须为正规合格产品，后期发现或鉴定为假冒伪劣产品供应商应承担拆除恢复原状等所有费用。供应商违反其书面承诺，应承担合同总金额10%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协议》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泄露采购人数据、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产品出现不良事件；供应商超期未能完成供货；供应商廉洁违纪行为；供应商主动放弃等。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56196472"/>
      <w:bookmarkStart w:id="2" w:name="_Toc128229747"/>
      <w:bookmarkStart w:id="3" w:name="_Toc173677399"/>
      <w:bookmarkStart w:id="4" w:name="_Toc128014297"/>
      <w:bookmarkStart w:id="5" w:name="_Toc237057793"/>
      <w:bookmarkStart w:id="6" w:name="_Toc128229304"/>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6"/>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6"/>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09B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F94723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其他要求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4354BB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1148DA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6952430">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6F05F92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6FBAF649"/>
    <w:multiLevelType w:val="singleLevel"/>
    <w:tmpl w:val="6FBAF649"/>
    <w:lvl w:ilvl="0" w:tentative="0">
      <w:start w:val="2"/>
      <w:numFmt w:val="chineseCounting"/>
      <w:suff w:val="nothing"/>
      <w:lvlText w:val="%1、"/>
      <w:lvlJc w:val="left"/>
      <w:rPr>
        <w:rFonts w:hint="eastAsia"/>
      </w:rPr>
    </w:lvl>
  </w:abstractNum>
  <w:abstractNum w:abstractNumId="6">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82122"/>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B3EFC"/>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007971"/>
    <w:rsid w:val="41593545"/>
    <w:rsid w:val="42310E70"/>
    <w:rsid w:val="423F438F"/>
    <w:rsid w:val="42725710"/>
    <w:rsid w:val="43244531"/>
    <w:rsid w:val="43860D47"/>
    <w:rsid w:val="44C5770F"/>
    <w:rsid w:val="44EF71C4"/>
    <w:rsid w:val="44F21A0A"/>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A75153"/>
    <w:rsid w:val="4EF37BD9"/>
    <w:rsid w:val="4F2E29BF"/>
    <w:rsid w:val="4F6D75ED"/>
    <w:rsid w:val="507F03F4"/>
    <w:rsid w:val="50A33062"/>
    <w:rsid w:val="50DC6F8F"/>
    <w:rsid w:val="5116436F"/>
    <w:rsid w:val="5128323B"/>
    <w:rsid w:val="51352B6B"/>
    <w:rsid w:val="51A72EFC"/>
    <w:rsid w:val="52181704"/>
    <w:rsid w:val="525200CA"/>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21B6D"/>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0416E3"/>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103C5"/>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8665</Words>
  <Characters>9083</Characters>
  <Lines>0</Lines>
  <Paragraphs>0</Paragraphs>
  <TotalTime>55</TotalTime>
  <ScaleCrop>false</ScaleCrop>
  <LinksUpToDate>false</LinksUpToDate>
  <CharactersWithSpaces>9751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2026-07-30T09:09:25Z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